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81" w:rsidRPr="00442382" w:rsidRDefault="00B51881" w:rsidP="00B51881">
      <w:pPr>
        <w:spacing w:before="0" w:after="0"/>
        <w:rPr>
          <w:color w:val="002838"/>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5939"/>
      </w:tblGrid>
      <w:tr w:rsidR="00B51881" w:rsidRPr="00442382" w:rsidTr="00F53318">
        <w:tc>
          <w:tcPr>
            <w:tcW w:w="5939" w:type="dxa"/>
          </w:tcPr>
          <w:p w:rsidR="00B51881" w:rsidRPr="00442382" w:rsidRDefault="00B51881" w:rsidP="00B51881">
            <w:pPr>
              <w:spacing w:before="0" w:after="0"/>
              <w:rPr>
                <w:color w:val="002838"/>
                <w:sz w:val="24"/>
              </w:rPr>
            </w:pPr>
          </w:p>
          <w:p w:rsidR="00B51881" w:rsidRDefault="00B51881" w:rsidP="00B51881">
            <w:pPr>
              <w:spacing w:before="0" w:after="0"/>
              <w:rPr>
                <w:b/>
                <w:color w:val="002838"/>
                <w:sz w:val="24"/>
              </w:rPr>
            </w:pPr>
            <w:r w:rsidRPr="00442382">
              <w:rPr>
                <w:b/>
                <w:color w:val="002838"/>
                <w:sz w:val="24"/>
              </w:rPr>
              <w:t>Antisocial Behaviour Policy</w:t>
            </w:r>
          </w:p>
          <w:p w:rsidR="00B51881" w:rsidRPr="00B51881" w:rsidRDefault="00B51881" w:rsidP="00B51881">
            <w:pPr>
              <w:spacing w:before="0" w:after="0"/>
              <w:rPr>
                <w:b/>
                <w:color w:val="002838"/>
                <w:sz w:val="24"/>
              </w:rPr>
            </w:pPr>
          </w:p>
          <w:p w:rsidR="00B51881" w:rsidRPr="00442382" w:rsidRDefault="00B51881" w:rsidP="00B51881">
            <w:pPr>
              <w:spacing w:before="0" w:after="0"/>
              <w:rPr>
                <w:color w:val="002838"/>
                <w:sz w:val="24"/>
              </w:rPr>
            </w:pPr>
            <w:r>
              <w:rPr>
                <w:color w:val="002838"/>
                <w:sz w:val="24"/>
              </w:rPr>
              <w:t>Draft – still to be approved</w:t>
            </w:r>
          </w:p>
          <w:p w:rsidR="00B51881" w:rsidRPr="00442382" w:rsidRDefault="00B51881" w:rsidP="00F53318">
            <w:pPr>
              <w:rPr>
                <w:color w:val="002838"/>
                <w:sz w:val="24"/>
              </w:rPr>
            </w:pPr>
          </w:p>
        </w:tc>
        <w:bookmarkStart w:id="0" w:name="_GoBack"/>
        <w:bookmarkEnd w:id="0"/>
      </w:tr>
    </w:tbl>
    <w:p w:rsidR="00B51881" w:rsidRPr="00442382" w:rsidRDefault="00B51881" w:rsidP="00B51881">
      <w:pPr>
        <w:spacing w:before="0" w:after="0"/>
        <w:rPr>
          <w:color w:val="002838"/>
          <w:sz w:val="24"/>
        </w:rPr>
      </w:pPr>
    </w:p>
    <w:p w:rsidR="00B51881" w:rsidRPr="00442382" w:rsidRDefault="00B51881" w:rsidP="00B51881">
      <w:pPr>
        <w:spacing w:before="0" w:after="0"/>
        <w:rPr>
          <w:b/>
          <w:color w:val="002838"/>
          <w:sz w:val="24"/>
        </w:rPr>
      </w:pPr>
      <w:r w:rsidRPr="00442382">
        <w:rPr>
          <w:b/>
          <w:color w:val="002838"/>
          <w:sz w:val="24"/>
        </w:rPr>
        <w:t>1.</w:t>
      </w:r>
      <w:r w:rsidRPr="00442382">
        <w:rPr>
          <w:b/>
          <w:color w:val="002838"/>
          <w:sz w:val="24"/>
        </w:rPr>
        <w:tab/>
        <w:t>Introduction</w:t>
      </w:r>
    </w:p>
    <w:p w:rsidR="00B51881" w:rsidRPr="00442382" w:rsidRDefault="00B51881" w:rsidP="00B51881">
      <w:pPr>
        <w:spacing w:before="0" w:after="0"/>
        <w:rPr>
          <w:color w:val="002838"/>
          <w:sz w:val="24"/>
        </w:rPr>
      </w:pPr>
    </w:p>
    <w:p w:rsidR="00B51881" w:rsidRDefault="00B51881" w:rsidP="00B51881">
      <w:pPr>
        <w:spacing w:before="0" w:after="0"/>
        <w:ind w:left="720"/>
        <w:rPr>
          <w:color w:val="002838"/>
          <w:sz w:val="24"/>
        </w:rPr>
      </w:pPr>
      <w:r w:rsidRPr="00442382">
        <w:rPr>
          <w:color w:val="002838"/>
          <w:sz w:val="24"/>
        </w:rPr>
        <w:t>This policy se</w:t>
      </w:r>
      <w:r>
        <w:rPr>
          <w:color w:val="002838"/>
          <w:sz w:val="24"/>
        </w:rPr>
        <w:t>ts out Cairn</w:t>
      </w:r>
      <w:r w:rsidRPr="00442382">
        <w:rPr>
          <w:color w:val="002838"/>
          <w:sz w:val="24"/>
        </w:rPr>
        <w:t>’s approach to recognising and responding to antisocial behaviour.</w:t>
      </w:r>
    </w:p>
    <w:p w:rsidR="00B51881" w:rsidRPr="00442382" w:rsidRDefault="00B51881" w:rsidP="00B51881">
      <w:pPr>
        <w:spacing w:before="0" w:after="0"/>
        <w:rPr>
          <w:color w:val="002838"/>
          <w:sz w:val="24"/>
        </w:rPr>
      </w:pPr>
    </w:p>
    <w:p w:rsidR="00B51881" w:rsidRPr="00442382" w:rsidRDefault="00B51881" w:rsidP="00B51881">
      <w:pPr>
        <w:spacing w:before="0" w:after="0"/>
        <w:rPr>
          <w:b/>
          <w:color w:val="002838"/>
          <w:sz w:val="24"/>
        </w:rPr>
      </w:pPr>
      <w:r w:rsidRPr="00442382">
        <w:rPr>
          <w:b/>
          <w:color w:val="002838"/>
          <w:sz w:val="24"/>
        </w:rPr>
        <w:t>2.</w:t>
      </w:r>
      <w:r w:rsidRPr="00442382">
        <w:rPr>
          <w:b/>
          <w:color w:val="002838"/>
          <w:sz w:val="24"/>
        </w:rPr>
        <w:tab/>
        <w:t>Policy Purpose</w:t>
      </w:r>
    </w:p>
    <w:p w:rsidR="00B51881" w:rsidRPr="00442382" w:rsidRDefault="00B51881" w:rsidP="00B51881">
      <w:pPr>
        <w:spacing w:before="0" w:after="0"/>
        <w:rPr>
          <w:color w:val="002838"/>
          <w:sz w:val="24"/>
        </w:rPr>
      </w:pPr>
    </w:p>
    <w:p w:rsidR="00B51881" w:rsidRPr="00442382" w:rsidRDefault="00B51881" w:rsidP="00B51881">
      <w:pPr>
        <w:spacing w:before="0" w:after="0"/>
        <w:rPr>
          <w:color w:val="002838"/>
          <w:sz w:val="24"/>
        </w:rPr>
      </w:pPr>
      <w:r w:rsidRPr="00442382">
        <w:rPr>
          <w:color w:val="002838"/>
          <w:sz w:val="24"/>
        </w:rPr>
        <w:t>2.1</w:t>
      </w:r>
      <w:r w:rsidRPr="00442382">
        <w:rPr>
          <w:color w:val="002838"/>
          <w:sz w:val="24"/>
        </w:rPr>
        <w:tab/>
        <w:t>The purpose of the policy is to:</w:t>
      </w:r>
    </w:p>
    <w:p w:rsidR="00B51881" w:rsidRPr="00442382" w:rsidRDefault="00B51881" w:rsidP="00B51881">
      <w:pPr>
        <w:spacing w:before="0" w:after="0"/>
        <w:rPr>
          <w:color w:val="002838"/>
          <w:sz w:val="24"/>
        </w:rPr>
      </w:pPr>
    </w:p>
    <w:p w:rsidR="00B51881" w:rsidRPr="00442382" w:rsidRDefault="00B51881" w:rsidP="00B51881">
      <w:pPr>
        <w:pStyle w:val="ListParagraph"/>
        <w:numPr>
          <w:ilvl w:val="0"/>
          <w:numId w:val="1"/>
        </w:numPr>
        <w:spacing w:before="0" w:after="0"/>
        <w:rPr>
          <w:color w:val="002838"/>
          <w:sz w:val="24"/>
        </w:rPr>
      </w:pPr>
      <w:r w:rsidRPr="00442382">
        <w:rPr>
          <w:color w:val="002838"/>
          <w:sz w:val="24"/>
        </w:rPr>
        <w:t>support our mission statement and assist us in fulfilling our core values</w:t>
      </w:r>
    </w:p>
    <w:p w:rsidR="00B51881" w:rsidRPr="00442382" w:rsidRDefault="00B51881" w:rsidP="00B51881">
      <w:pPr>
        <w:pStyle w:val="ListParagraph"/>
        <w:numPr>
          <w:ilvl w:val="0"/>
          <w:numId w:val="1"/>
        </w:numPr>
        <w:spacing w:before="0" w:after="0"/>
        <w:rPr>
          <w:color w:val="002838"/>
          <w:sz w:val="24"/>
        </w:rPr>
      </w:pPr>
      <w:r>
        <w:rPr>
          <w:color w:val="002838"/>
          <w:sz w:val="24"/>
        </w:rPr>
        <w:t>a</w:t>
      </w:r>
      <w:r w:rsidRPr="00442382">
        <w:rPr>
          <w:color w:val="002838"/>
          <w:sz w:val="24"/>
        </w:rPr>
        <w:t xml:space="preserve">chieve the relevant key objectives </w:t>
      </w:r>
      <w:proofErr w:type="spellStart"/>
      <w:r w:rsidRPr="00442382">
        <w:rPr>
          <w:color w:val="002838"/>
          <w:sz w:val="24"/>
        </w:rPr>
        <w:t>as</w:t>
      </w:r>
      <w:proofErr w:type="spellEnd"/>
      <w:r w:rsidRPr="00442382">
        <w:rPr>
          <w:color w:val="002838"/>
          <w:sz w:val="24"/>
        </w:rPr>
        <w:t xml:space="preserve"> contained in our Business Plan</w:t>
      </w:r>
    </w:p>
    <w:p w:rsidR="00B51881" w:rsidRPr="00442382" w:rsidRDefault="00B51881" w:rsidP="00B51881">
      <w:pPr>
        <w:pStyle w:val="ListParagraph"/>
        <w:numPr>
          <w:ilvl w:val="0"/>
          <w:numId w:val="1"/>
        </w:numPr>
        <w:spacing w:before="0" w:after="0"/>
        <w:rPr>
          <w:color w:val="002838"/>
          <w:sz w:val="24"/>
        </w:rPr>
      </w:pPr>
      <w:r w:rsidRPr="00442382">
        <w:rPr>
          <w:color w:val="002838"/>
          <w:sz w:val="24"/>
        </w:rPr>
        <w:t>meet the Scottish Housing Regulator’s Guiding and Activity Standards</w:t>
      </w:r>
    </w:p>
    <w:p w:rsidR="00B51881" w:rsidRPr="00442382" w:rsidRDefault="00B51881" w:rsidP="00B51881">
      <w:pPr>
        <w:pStyle w:val="ListParagraph"/>
        <w:numPr>
          <w:ilvl w:val="0"/>
          <w:numId w:val="1"/>
        </w:numPr>
        <w:spacing w:before="0" w:after="0"/>
        <w:rPr>
          <w:color w:val="002838"/>
          <w:sz w:val="24"/>
        </w:rPr>
      </w:pPr>
      <w:r w:rsidRPr="00442382">
        <w:rPr>
          <w:color w:val="002838"/>
          <w:sz w:val="24"/>
        </w:rPr>
        <w:t>enable us to fulfil our statutory responsibilities (Housing (Scotland) Act 2001, Antisocia</w:t>
      </w:r>
      <w:r>
        <w:rPr>
          <w:color w:val="002838"/>
          <w:sz w:val="24"/>
        </w:rPr>
        <w:t>l Behaviour (Scotland) Act 2004 and Housing (Scotland) Act 2014)</w:t>
      </w:r>
      <w:r w:rsidRPr="00442382">
        <w:rPr>
          <w:color w:val="002838"/>
          <w:sz w:val="24"/>
        </w:rPr>
        <w:t xml:space="preserve"> and is written in the light of best practice guidance from the Scottish Government and Chartered Institute of Housing amongst others.</w:t>
      </w:r>
    </w:p>
    <w:p w:rsidR="00B51881" w:rsidRPr="00442382" w:rsidRDefault="00B51881" w:rsidP="00B51881">
      <w:pPr>
        <w:pStyle w:val="ListParagraph"/>
        <w:numPr>
          <w:ilvl w:val="0"/>
          <w:numId w:val="1"/>
        </w:numPr>
        <w:spacing w:before="0" w:after="0"/>
        <w:rPr>
          <w:color w:val="002838"/>
          <w:sz w:val="24"/>
        </w:rPr>
      </w:pPr>
      <w:r w:rsidRPr="00442382">
        <w:rPr>
          <w:color w:val="002838"/>
          <w:sz w:val="24"/>
        </w:rPr>
        <w:t>enable us to contribute to local authority antisocial behaviour strategies and fulfil our duty to assist in their development and</w:t>
      </w:r>
    </w:p>
    <w:p w:rsidR="00B51881" w:rsidRPr="00442382" w:rsidRDefault="00B51881" w:rsidP="00B51881">
      <w:pPr>
        <w:pStyle w:val="ListParagraph"/>
        <w:numPr>
          <w:ilvl w:val="0"/>
          <w:numId w:val="1"/>
        </w:numPr>
        <w:spacing w:before="0" w:after="0"/>
        <w:rPr>
          <w:color w:val="002838"/>
          <w:sz w:val="24"/>
        </w:rPr>
      </w:pPr>
      <w:r w:rsidRPr="00442382">
        <w:rPr>
          <w:color w:val="002838"/>
          <w:sz w:val="24"/>
        </w:rPr>
        <w:t>demonstrate our commitment to assisting tenants in fulfilling the obligations of their Scottish Secure Tenancy agreement.</w:t>
      </w:r>
    </w:p>
    <w:p w:rsidR="00B51881" w:rsidRPr="00442382" w:rsidRDefault="00B51881" w:rsidP="00B51881">
      <w:pPr>
        <w:pStyle w:val="ListParagraph"/>
        <w:numPr>
          <w:ilvl w:val="0"/>
          <w:numId w:val="1"/>
        </w:numPr>
        <w:spacing w:before="0" w:after="0"/>
        <w:rPr>
          <w:color w:val="002838"/>
          <w:sz w:val="24"/>
        </w:rPr>
      </w:pPr>
      <w:r>
        <w:rPr>
          <w:color w:val="002838"/>
          <w:sz w:val="24"/>
        </w:rPr>
        <w:t>reduce anti</w:t>
      </w:r>
      <w:r w:rsidRPr="00442382">
        <w:rPr>
          <w:color w:val="002838"/>
          <w:sz w:val="24"/>
        </w:rPr>
        <w:t>social behaviour in the areas in which we operate through collaborative</w:t>
      </w:r>
      <w:r>
        <w:rPr>
          <w:color w:val="002838"/>
          <w:sz w:val="24"/>
        </w:rPr>
        <w:t xml:space="preserve"> working with various partners. </w:t>
      </w:r>
      <w:r w:rsidRPr="00442382">
        <w:rPr>
          <w:color w:val="002838"/>
          <w:sz w:val="24"/>
        </w:rPr>
        <w:t xml:space="preserve">This will involve a combination of prevention, enforcement and support </w:t>
      </w:r>
    </w:p>
    <w:p w:rsidR="00B51881" w:rsidRPr="00442382" w:rsidRDefault="00B51881" w:rsidP="00B51881">
      <w:pPr>
        <w:spacing w:before="0" w:after="0"/>
        <w:rPr>
          <w:color w:val="002838"/>
          <w:sz w:val="24"/>
        </w:rPr>
      </w:pPr>
    </w:p>
    <w:p w:rsidR="00B51881" w:rsidRPr="00442382" w:rsidRDefault="00B51881" w:rsidP="00B51881">
      <w:pPr>
        <w:spacing w:before="0" w:after="0"/>
        <w:rPr>
          <w:b/>
          <w:color w:val="002838"/>
          <w:sz w:val="24"/>
        </w:rPr>
      </w:pPr>
      <w:r w:rsidRPr="00442382">
        <w:rPr>
          <w:b/>
          <w:color w:val="002838"/>
          <w:sz w:val="24"/>
        </w:rPr>
        <w:t>3.</w:t>
      </w:r>
      <w:r w:rsidRPr="00442382">
        <w:rPr>
          <w:b/>
          <w:color w:val="002838"/>
          <w:sz w:val="24"/>
        </w:rPr>
        <w:tab/>
        <w:t>Context</w:t>
      </w:r>
    </w:p>
    <w:p w:rsidR="00B51881" w:rsidRPr="00442382" w:rsidRDefault="00B51881" w:rsidP="00B51881">
      <w:pPr>
        <w:spacing w:before="0" w:after="0"/>
        <w:rPr>
          <w:color w:val="002838"/>
          <w:sz w:val="24"/>
        </w:rPr>
      </w:pPr>
    </w:p>
    <w:p w:rsidR="00B51881" w:rsidRDefault="00B51881" w:rsidP="00B51881">
      <w:pPr>
        <w:spacing w:before="0" w:after="0"/>
        <w:ind w:left="720" w:hanging="720"/>
        <w:rPr>
          <w:color w:val="002838"/>
          <w:sz w:val="24"/>
        </w:rPr>
      </w:pPr>
      <w:r w:rsidRPr="00442382">
        <w:rPr>
          <w:color w:val="002838"/>
          <w:sz w:val="24"/>
        </w:rPr>
        <w:t>3.1</w:t>
      </w:r>
      <w:r w:rsidRPr="00442382">
        <w:rPr>
          <w:color w:val="002838"/>
          <w:sz w:val="24"/>
        </w:rPr>
        <w:tab/>
      </w:r>
      <w:r w:rsidRPr="00EF3A23">
        <w:rPr>
          <w:color w:val="002838"/>
          <w:sz w:val="24"/>
        </w:rPr>
        <w:t>Cairn will take account of legislative requirements an</w:t>
      </w:r>
      <w:r>
        <w:rPr>
          <w:color w:val="002838"/>
          <w:sz w:val="24"/>
        </w:rPr>
        <w:t>d good practice regarding antisocial b</w:t>
      </w:r>
      <w:r w:rsidRPr="00EF3A23">
        <w:rPr>
          <w:color w:val="002838"/>
          <w:sz w:val="24"/>
        </w:rPr>
        <w:t>ehaviour, notably:</w:t>
      </w:r>
    </w:p>
    <w:p w:rsidR="00B51881" w:rsidRDefault="00B51881" w:rsidP="00B51881">
      <w:pPr>
        <w:spacing w:before="0" w:after="0"/>
        <w:ind w:left="720" w:hanging="720"/>
        <w:rPr>
          <w:szCs w:val="24"/>
        </w:rPr>
      </w:pPr>
    </w:p>
    <w:p w:rsidR="00B51881" w:rsidRDefault="00B51881" w:rsidP="00B51881">
      <w:pPr>
        <w:pStyle w:val="ListParagraph"/>
        <w:numPr>
          <w:ilvl w:val="0"/>
          <w:numId w:val="4"/>
        </w:numPr>
        <w:spacing w:before="0" w:after="0"/>
        <w:rPr>
          <w:color w:val="002838"/>
          <w:sz w:val="24"/>
        </w:rPr>
      </w:pPr>
      <w:r>
        <w:rPr>
          <w:color w:val="002838"/>
          <w:sz w:val="24"/>
        </w:rPr>
        <w:t>Antisocial behaviour etc. (Scotland) Act 2004</w:t>
      </w:r>
    </w:p>
    <w:p w:rsidR="00B51881" w:rsidRPr="00EF3A23" w:rsidRDefault="00B51881" w:rsidP="00B51881">
      <w:pPr>
        <w:pStyle w:val="ListParagraph"/>
        <w:numPr>
          <w:ilvl w:val="0"/>
          <w:numId w:val="4"/>
        </w:numPr>
        <w:spacing w:before="0" w:after="0"/>
        <w:rPr>
          <w:color w:val="002838"/>
          <w:sz w:val="24"/>
        </w:rPr>
      </w:pPr>
      <w:r w:rsidRPr="00EF3A23">
        <w:rPr>
          <w:color w:val="002838"/>
          <w:sz w:val="24"/>
        </w:rPr>
        <w:t xml:space="preserve">Housing (Scotland) Acts 2001&amp; 2014 </w:t>
      </w:r>
    </w:p>
    <w:p w:rsidR="00B51881" w:rsidRPr="00EF3A23" w:rsidRDefault="00B51881" w:rsidP="00B51881">
      <w:pPr>
        <w:pStyle w:val="ListParagraph"/>
        <w:numPr>
          <w:ilvl w:val="0"/>
          <w:numId w:val="4"/>
        </w:numPr>
        <w:spacing w:before="0" w:after="0"/>
        <w:rPr>
          <w:color w:val="002838"/>
          <w:sz w:val="24"/>
        </w:rPr>
      </w:pPr>
      <w:r w:rsidRPr="00EF3A23">
        <w:rPr>
          <w:color w:val="002838"/>
          <w:sz w:val="24"/>
        </w:rPr>
        <w:t xml:space="preserve">Local Authorities’ Anti-social Behaviour Strategies </w:t>
      </w:r>
    </w:p>
    <w:p w:rsidR="00B51881" w:rsidRPr="00EF3A23" w:rsidRDefault="00B51881" w:rsidP="00B51881">
      <w:pPr>
        <w:pStyle w:val="ListParagraph"/>
        <w:numPr>
          <w:ilvl w:val="0"/>
          <w:numId w:val="4"/>
        </w:numPr>
        <w:spacing w:before="0" w:after="0"/>
        <w:rPr>
          <w:color w:val="002838"/>
          <w:sz w:val="24"/>
        </w:rPr>
      </w:pPr>
      <w:r w:rsidRPr="00EF3A23">
        <w:rPr>
          <w:color w:val="002838"/>
          <w:sz w:val="24"/>
        </w:rPr>
        <w:t xml:space="preserve">Promoting Positive Outcomes: Working Together to Prevent Anti-social Behaviour in Scotland - Volume 1 (Scottish Government &amp; COSLA) </w:t>
      </w:r>
    </w:p>
    <w:p w:rsidR="00B51881" w:rsidRPr="00EF3A23" w:rsidRDefault="00B51881" w:rsidP="00B51881">
      <w:pPr>
        <w:pStyle w:val="ListParagraph"/>
        <w:numPr>
          <w:ilvl w:val="0"/>
          <w:numId w:val="4"/>
        </w:numPr>
        <w:spacing w:before="0" w:after="0"/>
        <w:rPr>
          <w:color w:val="002838"/>
          <w:sz w:val="24"/>
        </w:rPr>
      </w:pPr>
      <w:r w:rsidRPr="00EF3A23">
        <w:rPr>
          <w:color w:val="002838"/>
          <w:sz w:val="24"/>
        </w:rPr>
        <w:t>Recognise and operate within and to locally agreed strategies and practices</w:t>
      </w:r>
    </w:p>
    <w:p w:rsidR="00B51881" w:rsidRPr="00442382" w:rsidRDefault="00B51881" w:rsidP="00B51881">
      <w:pPr>
        <w:spacing w:before="0" w:after="0"/>
        <w:rPr>
          <w:color w:val="002838"/>
          <w:sz w:val="24"/>
        </w:rPr>
      </w:pPr>
    </w:p>
    <w:p w:rsidR="00B51881" w:rsidRPr="00442382" w:rsidRDefault="00B51881" w:rsidP="00B51881">
      <w:pPr>
        <w:spacing w:before="0" w:after="0"/>
        <w:rPr>
          <w:b/>
          <w:color w:val="002838"/>
          <w:sz w:val="24"/>
        </w:rPr>
      </w:pPr>
      <w:r w:rsidRPr="00442382">
        <w:rPr>
          <w:b/>
          <w:color w:val="002838"/>
          <w:sz w:val="24"/>
        </w:rPr>
        <w:t>4.</w:t>
      </w:r>
      <w:r w:rsidRPr="00442382">
        <w:rPr>
          <w:b/>
          <w:color w:val="002838"/>
          <w:sz w:val="24"/>
        </w:rPr>
        <w:tab/>
        <w:t>Definition</w:t>
      </w:r>
    </w:p>
    <w:p w:rsidR="00B51881" w:rsidRDefault="00B51881" w:rsidP="00B51881">
      <w:pPr>
        <w:spacing w:before="0" w:after="0"/>
        <w:ind w:left="720" w:hanging="720"/>
        <w:rPr>
          <w:color w:val="002838"/>
          <w:sz w:val="24"/>
        </w:rPr>
      </w:pPr>
    </w:p>
    <w:p w:rsidR="00B51881" w:rsidRPr="00442382" w:rsidRDefault="00B51881" w:rsidP="00B51881">
      <w:pPr>
        <w:spacing w:before="0" w:after="0"/>
        <w:ind w:left="720" w:hanging="720"/>
        <w:rPr>
          <w:color w:val="002838"/>
          <w:sz w:val="24"/>
        </w:rPr>
      </w:pPr>
      <w:r w:rsidRPr="00442382">
        <w:rPr>
          <w:color w:val="002838"/>
          <w:sz w:val="24"/>
        </w:rPr>
        <w:t>4.1</w:t>
      </w:r>
      <w:r w:rsidRPr="00442382">
        <w:rPr>
          <w:color w:val="002838"/>
          <w:sz w:val="24"/>
        </w:rPr>
        <w:tab/>
        <w:t>We define antisocial behaviour a</w:t>
      </w:r>
      <w:r>
        <w:rPr>
          <w:color w:val="002838"/>
          <w:sz w:val="24"/>
        </w:rPr>
        <w:t>s it is defined in legislation.</w:t>
      </w:r>
      <w:r w:rsidRPr="00442382">
        <w:rPr>
          <w:color w:val="002838"/>
          <w:sz w:val="24"/>
        </w:rPr>
        <w:t xml:space="preserve"> Section 143 of the Antisocial Behaviour (Scotland) Act 2004 provides that:</w:t>
      </w:r>
    </w:p>
    <w:p w:rsidR="00B51881" w:rsidRPr="00EF3A23" w:rsidRDefault="00B51881" w:rsidP="00B51881">
      <w:pPr>
        <w:pStyle w:val="ListParagraph"/>
        <w:numPr>
          <w:ilvl w:val="0"/>
          <w:numId w:val="5"/>
        </w:numPr>
        <w:spacing w:before="0" w:after="0"/>
        <w:rPr>
          <w:color w:val="002838"/>
          <w:sz w:val="24"/>
        </w:rPr>
      </w:pPr>
      <w:r w:rsidRPr="00EF3A23">
        <w:rPr>
          <w:color w:val="002838"/>
          <w:sz w:val="24"/>
        </w:rPr>
        <w:t>a person engages in antisocial behaviour if they:</w:t>
      </w:r>
    </w:p>
    <w:p w:rsidR="00B51881" w:rsidRPr="00442382" w:rsidRDefault="00B51881" w:rsidP="00B51881">
      <w:pPr>
        <w:pStyle w:val="ListParagraph"/>
        <w:numPr>
          <w:ilvl w:val="2"/>
          <w:numId w:val="6"/>
        </w:numPr>
        <w:spacing w:before="0" w:after="0"/>
        <w:rPr>
          <w:color w:val="002838"/>
          <w:sz w:val="24"/>
        </w:rPr>
      </w:pPr>
      <w:r>
        <w:rPr>
          <w:color w:val="002838"/>
          <w:sz w:val="24"/>
        </w:rPr>
        <w:t>a</w:t>
      </w:r>
      <w:r w:rsidRPr="00442382">
        <w:rPr>
          <w:color w:val="002838"/>
          <w:sz w:val="24"/>
        </w:rPr>
        <w:t>ct in a manner that causes or is likely to cause alarm or distress</w:t>
      </w:r>
    </w:p>
    <w:p w:rsidR="00B51881" w:rsidRPr="00442382" w:rsidRDefault="00B51881" w:rsidP="00B51881">
      <w:pPr>
        <w:pStyle w:val="ListParagraph"/>
        <w:numPr>
          <w:ilvl w:val="2"/>
          <w:numId w:val="6"/>
        </w:numPr>
        <w:spacing w:before="0" w:after="0"/>
        <w:rPr>
          <w:color w:val="002838"/>
          <w:sz w:val="24"/>
        </w:rPr>
      </w:pPr>
      <w:r>
        <w:rPr>
          <w:color w:val="002838"/>
          <w:sz w:val="24"/>
        </w:rPr>
        <w:t>p</w:t>
      </w:r>
      <w:r w:rsidRPr="00442382">
        <w:rPr>
          <w:color w:val="002838"/>
          <w:sz w:val="24"/>
        </w:rPr>
        <w:t>ursue a course of conduct that causes or is likely to cause alarm or distress to at least one person who is not of the same household as them</w:t>
      </w:r>
    </w:p>
    <w:p w:rsidR="00B51881" w:rsidRPr="00442382" w:rsidRDefault="00B51881" w:rsidP="00B51881">
      <w:pPr>
        <w:pStyle w:val="ListParagraph"/>
        <w:numPr>
          <w:ilvl w:val="1"/>
          <w:numId w:val="2"/>
        </w:numPr>
        <w:spacing w:before="0" w:after="0"/>
        <w:rPr>
          <w:color w:val="002838"/>
          <w:sz w:val="24"/>
        </w:rPr>
      </w:pPr>
      <w:r w:rsidRPr="00442382">
        <w:rPr>
          <w:color w:val="002838"/>
          <w:sz w:val="24"/>
        </w:rPr>
        <w:t>“conduct” includes speech</w:t>
      </w:r>
    </w:p>
    <w:p w:rsidR="00B51881" w:rsidRPr="004A0C67" w:rsidRDefault="00B51881" w:rsidP="00B51881">
      <w:pPr>
        <w:pStyle w:val="ListParagraph"/>
        <w:numPr>
          <w:ilvl w:val="1"/>
          <w:numId w:val="2"/>
        </w:numPr>
        <w:spacing w:before="0" w:after="0"/>
        <w:rPr>
          <w:color w:val="002838"/>
          <w:sz w:val="24"/>
        </w:rPr>
      </w:pPr>
      <w:r w:rsidRPr="004A0C67">
        <w:rPr>
          <w:color w:val="002838"/>
          <w:sz w:val="24"/>
        </w:rPr>
        <w:t>“a course of conduct” must involve conduct on at least two occasions</w:t>
      </w:r>
    </w:p>
    <w:p w:rsidR="00B51881" w:rsidRPr="004A0C67" w:rsidRDefault="00B51881" w:rsidP="00B51881">
      <w:pPr>
        <w:pStyle w:val="ListParagraph"/>
        <w:numPr>
          <w:ilvl w:val="1"/>
          <w:numId w:val="2"/>
        </w:numPr>
        <w:spacing w:before="0" w:after="0"/>
        <w:rPr>
          <w:color w:val="002838"/>
          <w:sz w:val="24"/>
        </w:rPr>
      </w:pPr>
      <w:r w:rsidRPr="004A0C67">
        <w:rPr>
          <w:color w:val="002838"/>
          <w:sz w:val="24"/>
        </w:rPr>
        <w:t>“likely to cause” has the effect that someone other than a victim of the antisocial behaviour can give evidence of its occurrence.</w:t>
      </w:r>
    </w:p>
    <w:p w:rsidR="00B51881" w:rsidRPr="00442382" w:rsidRDefault="00B51881" w:rsidP="00B51881">
      <w:pPr>
        <w:spacing w:before="0" w:after="0"/>
        <w:rPr>
          <w:color w:val="002838"/>
          <w:sz w:val="24"/>
        </w:rPr>
      </w:pPr>
    </w:p>
    <w:p w:rsidR="00B51881" w:rsidRDefault="00B51881" w:rsidP="00B51881">
      <w:pPr>
        <w:spacing w:before="0" w:after="0"/>
        <w:ind w:left="720" w:hanging="720"/>
        <w:rPr>
          <w:szCs w:val="24"/>
        </w:rPr>
      </w:pPr>
      <w:r w:rsidRPr="00442382">
        <w:rPr>
          <w:color w:val="002838"/>
          <w:sz w:val="24"/>
        </w:rPr>
        <w:t>4.2</w:t>
      </w:r>
      <w:r w:rsidRPr="00442382">
        <w:rPr>
          <w:color w:val="002838"/>
          <w:sz w:val="24"/>
        </w:rPr>
        <w:tab/>
      </w:r>
      <w:r w:rsidRPr="00EF3A23">
        <w:rPr>
          <w:color w:val="002838"/>
          <w:sz w:val="24"/>
        </w:rPr>
        <w:t>ASB will be broken down into 4 Categories and Cairn will aim to make initial contact with the subject of the ASB complaint within a set number of days of it receiving the complaint, as set out below.</w:t>
      </w:r>
    </w:p>
    <w:p w:rsidR="00B51881" w:rsidRDefault="00B51881" w:rsidP="00B51881">
      <w:pPr>
        <w:spacing w:before="0" w:after="0"/>
        <w:ind w:left="720" w:hanging="720"/>
        <w:rPr>
          <w:szCs w:val="24"/>
        </w:rPr>
      </w:pPr>
    </w:p>
    <w:p w:rsidR="00B51881" w:rsidRPr="00EF3A23" w:rsidRDefault="00B51881" w:rsidP="00B51881">
      <w:pPr>
        <w:spacing w:before="0" w:after="0"/>
        <w:ind w:left="720" w:hanging="720"/>
        <w:rPr>
          <w:b/>
          <w:color w:val="002838"/>
          <w:sz w:val="24"/>
        </w:rPr>
      </w:pPr>
      <w:r>
        <w:rPr>
          <w:szCs w:val="24"/>
        </w:rPr>
        <w:tab/>
      </w:r>
      <w:r w:rsidRPr="00EF3A23">
        <w:rPr>
          <w:b/>
          <w:color w:val="002838"/>
          <w:sz w:val="24"/>
        </w:rPr>
        <w:t xml:space="preserve">Category A </w:t>
      </w:r>
    </w:p>
    <w:p w:rsidR="00B51881" w:rsidRPr="00EF3A23" w:rsidRDefault="00B51881" w:rsidP="00B51881">
      <w:pPr>
        <w:spacing w:before="0" w:after="0"/>
        <w:ind w:left="720"/>
        <w:rPr>
          <w:color w:val="002838"/>
          <w:sz w:val="24"/>
        </w:rPr>
      </w:pPr>
      <w:r w:rsidRPr="00EF3A23">
        <w:rPr>
          <w:color w:val="002838"/>
          <w:sz w:val="24"/>
        </w:rPr>
        <w:t xml:space="preserve">Extremely serious/imminent risk – </w:t>
      </w:r>
      <w:r>
        <w:rPr>
          <w:color w:val="002838"/>
          <w:sz w:val="24"/>
        </w:rPr>
        <w:t>f</w:t>
      </w:r>
      <w:r w:rsidRPr="00EF3A23">
        <w:rPr>
          <w:color w:val="002838"/>
          <w:sz w:val="24"/>
        </w:rPr>
        <w:t>irst contact from Cairn within 1 working day.</w:t>
      </w:r>
    </w:p>
    <w:p w:rsidR="00B51881" w:rsidRPr="00EF3A23" w:rsidRDefault="00B51881" w:rsidP="00B51881">
      <w:pPr>
        <w:spacing w:before="0" w:after="0"/>
        <w:ind w:left="720" w:hanging="720"/>
        <w:rPr>
          <w:color w:val="002838"/>
          <w:sz w:val="24"/>
        </w:rPr>
      </w:pPr>
    </w:p>
    <w:p w:rsidR="00B51881" w:rsidRPr="00EF3A23" w:rsidRDefault="00B51881" w:rsidP="00B51881">
      <w:pPr>
        <w:spacing w:before="0" w:after="0"/>
        <w:ind w:left="720"/>
        <w:rPr>
          <w:b/>
          <w:color w:val="002838"/>
          <w:sz w:val="24"/>
        </w:rPr>
      </w:pPr>
      <w:r w:rsidRPr="00EF3A23">
        <w:rPr>
          <w:b/>
          <w:color w:val="002838"/>
          <w:sz w:val="24"/>
        </w:rPr>
        <w:t xml:space="preserve">Category B </w:t>
      </w:r>
    </w:p>
    <w:p w:rsidR="00B51881" w:rsidRPr="00EF3A23" w:rsidRDefault="00B51881" w:rsidP="00B51881">
      <w:pPr>
        <w:spacing w:before="0" w:after="0"/>
        <w:ind w:left="720"/>
        <w:rPr>
          <w:color w:val="002838"/>
          <w:sz w:val="24"/>
        </w:rPr>
      </w:pPr>
      <w:r w:rsidRPr="00EF3A23">
        <w:rPr>
          <w:color w:val="002838"/>
          <w:sz w:val="24"/>
        </w:rPr>
        <w:t>Serious/no immediate</w:t>
      </w:r>
      <w:r>
        <w:rPr>
          <w:color w:val="002838"/>
          <w:sz w:val="24"/>
        </w:rPr>
        <w:t xml:space="preserve"> risk – f</w:t>
      </w:r>
      <w:r w:rsidRPr="00EF3A23">
        <w:rPr>
          <w:color w:val="002838"/>
          <w:sz w:val="24"/>
        </w:rPr>
        <w:t>irst contact from Cairn within 5 working days.</w:t>
      </w:r>
    </w:p>
    <w:p w:rsidR="00B51881" w:rsidRPr="00EF3A23" w:rsidRDefault="00B51881" w:rsidP="00B51881">
      <w:pPr>
        <w:spacing w:before="0" w:after="0"/>
        <w:ind w:left="720" w:hanging="720"/>
        <w:rPr>
          <w:color w:val="002838"/>
          <w:sz w:val="24"/>
        </w:rPr>
      </w:pPr>
    </w:p>
    <w:p w:rsidR="00B51881" w:rsidRPr="00EF3A23" w:rsidRDefault="00B51881" w:rsidP="00B51881">
      <w:pPr>
        <w:spacing w:before="0" w:after="0"/>
        <w:ind w:left="720"/>
        <w:rPr>
          <w:b/>
          <w:color w:val="002838"/>
          <w:sz w:val="24"/>
        </w:rPr>
      </w:pPr>
      <w:r w:rsidRPr="00EF3A23">
        <w:rPr>
          <w:b/>
          <w:color w:val="002838"/>
          <w:sz w:val="24"/>
        </w:rPr>
        <w:t>Category C</w:t>
      </w:r>
    </w:p>
    <w:p w:rsidR="00B51881" w:rsidRPr="00EF3A23" w:rsidRDefault="00B51881" w:rsidP="00B51881">
      <w:pPr>
        <w:spacing w:before="0" w:after="0"/>
        <w:ind w:left="720"/>
        <w:rPr>
          <w:color w:val="002838"/>
          <w:sz w:val="24"/>
        </w:rPr>
      </w:pPr>
      <w:r w:rsidRPr="00EF3A23">
        <w:rPr>
          <w:color w:val="002838"/>
          <w:sz w:val="24"/>
        </w:rPr>
        <w:t xml:space="preserve">Neighbour </w:t>
      </w:r>
      <w:r>
        <w:rPr>
          <w:color w:val="002838"/>
          <w:sz w:val="24"/>
        </w:rPr>
        <w:t>n</w:t>
      </w:r>
      <w:r w:rsidRPr="00EF3A23">
        <w:rPr>
          <w:color w:val="002838"/>
          <w:sz w:val="24"/>
        </w:rPr>
        <w:t>uisance</w:t>
      </w:r>
      <w:r>
        <w:rPr>
          <w:color w:val="002838"/>
          <w:sz w:val="24"/>
        </w:rPr>
        <w:t xml:space="preserve"> – f</w:t>
      </w:r>
      <w:r w:rsidRPr="00EF3A23">
        <w:rPr>
          <w:color w:val="002838"/>
          <w:sz w:val="24"/>
        </w:rPr>
        <w:t>irst contact from Cairn within 10 working days.</w:t>
      </w:r>
    </w:p>
    <w:p w:rsidR="00B51881" w:rsidRPr="00EF3A23" w:rsidRDefault="00B51881" w:rsidP="00B51881">
      <w:pPr>
        <w:spacing w:before="0" w:after="0"/>
        <w:ind w:left="720" w:hanging="720"/>
        <w:rPr>
          <w:color w:val="002838"/>
          <w:sz w:val="24"/>
        </w:rPr>
      </w:pPr>
    </w:p>
    <w:p w:rsidR="00B51881" w:rsidRPr="00EF3A23" w:rsidRDefault="00B51881" w:rsidP="00B51881">
      <w:pPr>
        <w:spacing w:before="0" w:after="0"/>
        <w:ind w:left="720"/>
        <w:rPr>
          <w:b/>
          <w:color w:val="002838"/>
          <w:sz w:val="24"/>
        </w:rPr>
      </w:pPr>
      <w:r w:rsidRPr="00EF3A23">
        <w:rPr>
          <w:b/>
          <w:color w:val="002838"/>
          <w:sz w:val="24"/>
        </w:rPr>
        <w:t>Category D</w:t>
      </w:r>
    </w:p>
    <w:p w:rsidR="00B51881" w:rsidRPr="00EF3A23" w:rsidRDefault="00B51881" w:rsidP="00B51881">
      <w:pPr>
        <w:spacing w:before="0" w:after="0"/>
        <w:ind w:left="720"/>
        <w:rPr>
          <w:color w:val="002838"/>
          <w:sz w:val="24"/>
        </w:rPr>
      </w:pPr>
      <w:r>
        <w:rPr>
          <w:color w:val="002838"/>
          <w:sz w:val="24"/>
        </w:rPr>
        <w:t>Non-tenancy r</w:t>
      </w:r>
      <w:r w:rsidRPr="00EF3A23">
        <w:rPr>
          <w:color w:val="002838"/>
          <w:sz w:val="24"/>
        </w:rPr>
        <w:t>elated issues – no formal response given but advice will be provided to complainant.</w:t>
      </w:r>
    </w:p>
    <w:p w:rsidR="00B51881" w:rsidRPr="00EF3A23" w:rsidRDefault="00B51881" w:rsidP="00B51881">
      <w:pPr>
        <w:spacing w:before="0" w:after="0"/>
        <w:ind w:left="720" w:hanging="720"/>
        <w:rPr>
          <w:color w:val="002838"/>
          <w:sz w:val="24"/>
        </w:rPr>
      </w:pPr>
    </w:p>
    <w:p w:rsidR="00B51881" w:rsidRPr="00442382" w:rsidRDefault="00B51881" w:rsidP="00B51881">
      <w:pPr>
        <w:spacing w:before="0" w:after="0"/>
        <w:ind w:left="720" w:hanging="720"/>
        <w:rPr>
          <w:color w:val="002838"/>
          <w:sz w:val="24"/>
        </w:rPr>
      </w:pPr>
      <w:r w:rsidRPr="00EF3A23">
        <w:rPr>
          <w:color w:val="002838"/>
          <w:sz w:val="24"/>
        </w:rPr>
        <w:tab/>
        <w:t xml:space="preserve">Investigations into complaints of </w:t>
      </w:r>
      <w:r>
        <w:rPr>
          <w:color w:val="002838"/>
          <w:sz w:val="24"/>
        </w:rPr>
        <w:t>anti</w:t>
      </w:r>
      <w:r w:rsidRPr="00EF3A23">
        <w:rPr>
          <w:color w:val="002838"/>
          <w:sz w:val="24"/>
        </w:rPr>
        <w:t>social behaviour will aim to be resolved within 30 working days</w:t>
      </w:r>
      <w:r>
        <w:rPr>
          <w:color w:val="002838"/>
          <w:sz w:val="24"/>
        </w:rPr>
        <w:t>,</w:t>
      </w:r>
      <w:r w:rsidRPr="00EF3A23">
        <w:rPr>
          <w:color w:val="002838"/>
          <w:sz w:val="24"/>
        </w:rPr>
        <w:t xml:space="preserve"> however Cairn is entitled to extensions as may reasonably be required having regard to the circumstances. In such cases the complainant will be kept up to date and informed.</w:t>
      </w:r>
    </w:p>
    <w:p w:rsidR="00B51881" w:rsidRPr="00442382" w:rsidRDefault="00B51881" w:rsidP="00B51881">
      <w:pPr>
        <w:spacing w:before="0" w:after="0"/>
        <w:rPr>
          <w:color w:val="002838"/>
          <w:sz w:val="24"/>
        </w:rPr>
      </w:pPr>
    </w:p>
    <w:p w:rsidR="00B51881" w:rsidRPr="00EF3A23" w:rsidRDefault="00B51881" w:rsidP="00B51881">
      <w:pPr>
        <w:spacing w:before="0" w:after="0"/>
        <w:ind w:left="720" w:hanging="720"/>
        <w:rPr>
          <w:color w:val="002838"/>
          <w:sz w:val="24"/>
        </w:rPr>
      </w:pPr>
      <w:r>
        <w:rPr>
          <w:color w:val="002838"/>
          <w:sz w:val="24"/>
        </w:rPr>
        <w:t>4.3</w:t>
      </w:r>
      <w:r>
        <w:rPr>
          <w:color w:val="002838"/>
          <w:sz w:val="24"/>
        </w:rPr>
        <w:tab/>
      </w:r>
      <w:r w:rsidRPr="00EF3A23">
        <w:rPr>
          <w:color w:val="002838"/>
          <w:sz w:val="24"/>
        </w:rPr>
        <w:t xml:space="preserve">The Scottish Secure Tenancy Agreement (SSTA) sets out our expectations of our tenants and our own responsibilities. We will ensure that the terms and conditions of the SSTA in so far as they relate to </w:t>
      </w:r>
      <w:r>
        <w:rPr>
          <w:color w:val="002838"/>
          <w:sz w:val="24"/>
        </w:rPr>
        <w:t>anti</w:t>
      </w:r>
      <w:r w:rsidRPr="00EF3A23">
        <w:rPr>
          <w:color w:val="002838"/>
          <w:sz w:val="24"/>
        </w:rPr>
        <w:t xml:space="preserve">social behaviour are adhered to and enforced.  </w:t>
      </w:r>
    </w:p>
    <w:p w:rsidR="00B51881" w:rsidRPr="00EF3A23" w:rsidRDefault="00B51881" w:rsidP="00B51881">
      <w:pPr>
        <w:spacing w:before="0" w:after="0"/>
        <w:ind w:left="720" w:hanging="720"/>
        <w:rPr>
          <w:color w:val="002838"/>
          <w:sz w:val="24"/>
        </w:rPr>
      </w:pPr>
      <w:r w:rsidRPr="00EF3A23">
        <w:rPr>
          <w:color w:val="002838"/>
          <w:sz w:val="24"/>
        </w:rPr>
        <w:t xml:space="preserve"> </w:t>
      </w:r>
    </w:p>
    <w:p w:rsidR="00B51881" w:rsidRDefault="00B51881" w:rsidP="00B51881">
      <w:pPr>
        <w:spacing w:before="0" w:after="0"/>
        <w:ind w:left="720"/>
        <w:rPr>
          <w:color w:val="002838"/>
          <w:sz w:val="24"/>
        </w:rPr>
      </w:pPr>
      <w:r w:rsidRPr="00EF3A23">
        <w:rPr>
          <w:color w:val="002838"/>
          <w:sz w:val="24"/>
        </w:rPr>
        <w:t>We will work wit</w:t>
      </w:r>
      <w:r>
        <w:rPr>
          <w:color w:val="002838"/>
          <w:sz w:val="24"/>
        </w:rPr>
        <w:t>h communities to ensure that antisocial behaviour</w:t>
      </w:r>
      <w:r w:rsidRPr="00EF3A23">
        <w:rPr>
          <w:color w:val="002838"/>
          <w:sz w:val="24"/>
        </w:rPr>
        <w:t xml:space="preserve"> issues are addressed quickly and effectively</w:t>
      </w:r>
      <w:r>
        <w:rPr>
          <w:color w:val="002838"/>
          <w:sz w:val="24"/>
        </w:rPr>
        <w:t>.</w:t>
      </w:r>
    </w:p>
    <w:p w:rsidR="00B51881" w:rsidRPr="004A0C67" w:rsidRDefault="00B51881" w:rsidP="00B51881">
      <w:pPr>
        <w:spacing w:before="0" w:after="0"/>
        <w:rPr>
          <w:color w:val="002838"/>
          <w:sz w:val="24"/>
        </w:rPr>
      </w:pPr>
    </w:p>
    <w:p w:rsidR="00B51881" w:rsidRPr="004A0C67" w:rsidRDefault="00B51881" w:rsidP="00B51881">
      <w:pPr>
        <w:spacing w:before="0" w:after="0"/>
        <w:ind w:left="720" w:hanging="720"/>
        <w:rPr>
          <w:b/>
          <w:color w:val="002838"/>
          <w:sz w:val="24"/>
        </w:rPr>
      </w:pPr>
      <w:r w:rsidRPr="004A0C67">
        <w:rPr>
          <w:b/>
          <w:color w:val="002838"/>
          <w:sz w:val="24"/>
        </w:rPr>
        <w:t>5.</w:t>
      </w:r>
      <w:r w:rsidRPr="004A0C67">
        <w:rPr>
          <w:b/>
          <w:color w:val="002838"/>
          <w:sz w:val="24"/>
        </w:rPr>
        <w:tab/>
        <w:t>Approach</w:t>
      </w:r>
    </w:p>
    <w:p w:rsidR="00B51881" w:rsidRPr="004A0C67" w:rsidRDefault="00B51881" w:rsidP="00B51881">
      <w:pPr>
        <w:spacing w:before="0" w:after="0"/>
        <w:ind w:left="720" w:hanging="720"/>
        <w:rPr>
          <w:color w:val="002838"/>
          <w:sz w:val="24"/>
        </w:rPr>
      </w:pPr>
    </w:p>
    <w:p w:rsidR="00B51881" w:rsidRPr="004A0C67" w:rsidRDefault="00B51881" w:rsidP="00B51881">
      <w:pPr>
        <w:spacing w:before="0" w:after="0"/>
        <w:ind w:left="720" w:hanging="720"/>
        <w:rPr>
          <w:color w:val="002838"/>
          <w:sz w:val="24"/>
        </w:rPr>
      </w:pPr>
      <w:r w:rsidRPr="004A0C67">
        <w:rPr>
          <w:color w:val="002838"/>
          <w:sz w:val="24"/>
        </w:rPr>
        <w:t>5.1</w:t>
      </w:r>
      <w:r w:rsidRPr="004A0C67">
        <w:rPr>
          <w:color w:val="002838"/>
          <w:sz w:val="24"/>
        </w:rPr>
        <w:tab/>
        <w:t>Our approach to ant</w:t>
      </w:r>
      <w:r>
        <w:rPr>
          <w:color w:val="002838"/>
          <w:sz w:val="24"/>
        </w:rPr>
        <w:t>isocial behaviour issues will</w:t>
      </w:r>
      <w:r w:rsidRPr="004A0C67">
        <w:rPr>
          <w:color w:val="002838"/>
          <w:sz w:val="24"/>
        </w:rPr>
        <w:t>:</w:t>
      </w:r>
    </w:p>
    <w:p w:rsidR="00B51881" w:rsidRDefault="00B51881" w:rsidP="00B51881">
      <w:pPr>
        <w:spacing w:before="0" w:after="0"/>
        <w:ind w:left="720" w:hanging="720"/>
        <w:rPr>
          <w:color w:val="002838"/>
          <w:sz w:val="24"/>
        </w:rPr>
      </w:pPr>
    </w:p>
    <w:p w:rsidR="00B51881" w:rsidRDefault="00B51881" w:rsidP="00B51881">
      <w:pPr>
        <w:pStyle w:val="ListParagraph"/>
        <w:numPr>
          <w:ilvl w:val="1"/>
          <w:numId w:val="2"/>
        </w:numPr>
        <w:spacing w:before="0" w:after="0"/>
        <w:rPr>
          <w:color w:val="002838"/>
          <w:sz w:val="24"/>
          <w:szCs w:val="24"/>
        </w:rPr>
      </w:pPr>
      <w:r w:rsidRPr="00EF3A23">
        <w:rPr>
          <w:color w:val="002838"/>
          <w:sz w:val="24"/>
          <w:szCs w:val="24"/>
        </w:rPr>
        <w:t xml:space="preserve">take a positive approach to </w:t>
      </w:r>
      <w:r>
        <w:rPr>
          <w:color w:val="002838"/>
          <w:sz w:val="24"/>
          <w:szCs w:val="24"/>
        </w:rPr>
        <w:t>anti</w:t>
      </w:r>
      <w:r w:rsidRPr="00EF3A23">
        <w:rPr>
          <w:color w:val="002838"/>
          <w:sz w:val="24"/>
          <w:szCs w:val="24"/>
        </w:rPr>
        <w:t xml:space="preserve">social behaviour and work with local authorities and communities to identify &amp; prevent </w:t>
      </w:r>
      <w:r>
        <w:rPr>
          <w:color w:val="002838"/>
          <w:sz w:val="24"/>
          <w:szCs w:val="24"/>
        </w:rPr>
        <w:t>anti</w:t>
      </w:r>
      <w:r w:rsidRPr="00EF3A23">
        <w:rPr>
          <w:color w:val="002838"/>
          <w:sz w:val="24"/>
          <w:szCs w:val="24"/>
        </w:rPr>
        <w:t>social behaviour by early detection and proactive management.</w:t>
      </w:r>
    </w:p>
    <w:p w:rsidR="00B51881" w:rsidRPr="00EF3A23" w:rsidRDefault="00B51881" w:rsidP="00B51881">
      <w:pPr>
        <w:pStyle w:val="ListParagraph"/>
        <w:spacing w:before="0" w:after="0"/>
        <w:ind w:left="1440"/>
        <w:rPr>
          <w:color w:val="002838"/>
          <w:sz w:val="24"/>
          <w:szCs w:val="24"/>
        </w:rPr>
      </w:pPr>
    </w:p>
    <w:p w:rsidR="00B51881" w:rsidRDefault="00B51881" w:rsidP="00B51881">
      <w:pPr>
        <w:numPr>
          <w:ilvl w:val="1"/>
          <w:numId w:val="2"/>
        </w:numPr>
        <w:spacing w:before="0" w:after="0"/>
        <w:rPr>
          <w:color w:val="002838"/>
          <w:sz w:val="24"/>
          <w:szCs w:val="24"/>
        </w:rPr>
      </w:pPr>
      <w:r w:rsidRPr="00EF3A23">
        <w:rPr>
          <w:color w:val="002838"/>
          <w:sz w:val="24"/>
          <w:szCs w:val="24"/>
        </w:rPr>
        <w:t xml:space="preserve">take action and use all remedies open to us to prevent and deal with </w:t>
      </w:r>
      <w:r>
        <w:rPr>
          <w:color w:val="002838"/>
          <w:sz w:val="24"/>
          <w:szCs w:val="24"/>
        </w:rPr>
        <w:t>anti</w:t>
      </w:r>
      <w:r w:rsidRPr="00EF3A23">
        <w:rPr>
          <w:color w:val="002838"/>
          <w:sz w:val="24"/>
          <w:szCs w:val="24"/>
        </w:rPr>
        <w:t xml:space="preserve">social behaviour including warnings, Acceptable Behaviour Contracts, mediation and issuing Notice of Proceedings/taking legal action. </w:t>
      </w:r>
    </w:p>
    <w:p w:rsidR="00B51881" w:rsidRPr="00EF3A23" w:rsidRDefault="00B51881" w:rsidP="00B51881">
      <w:pPr>
        <w:spacing w:before="0" w:after="0"/>
        <w:ind w:left="1440"/>
        <w:rPr>
          <w:color w:val="002838"/>
          <w:sz w:val="24"/>
          <w:szCs w:val="24"/>
        </w:rPr>
      </w:pPr>
    </w:p>
    <w:p w:rsidR="00B51881" w:rsidRDefault="00B51881" w:rsidP="00B51881">
      <w:pPr>
        <w:numPr>
          <w:ilvl w:val="1"/>
          <w:numId w:val="2"/>
        </w:numPr>
        <w:spacing w:before="0" w:after="0"/>
        <w:rPr>
          <w:color w:val="002838"/>
          <w:sz w:val="24"/>
          <w:szCs w:val="24"/>
        </w:rPr>
      </w:pPr>
      <w:r w:rsidRPr="00EF3A23">
        <w:rPr>
          <w:color w:val="002838"/>
          <w:sz w:val="24"/>
          <w:szCs w:val="24"/>
        </w:rPr>
        <w:t xml:space="preserve">engage with alleged perpetrators, victims of </w:t>
      </w:r>
      <w:r>
        <w:rPr>
          <w:color w:val="002838"/>
          <w:sz w:val="24"/>
          <w:szCs w:val="24"/>
        </w:rPr>
        <w:t>anti</w:t>
      </w:r>
      <w:r w:rsidRPr="00EF3A23">
        <w:rPr>
          <w:color w:val="002838"/>
          <w:sz w:val="24"/>
          <w:szCs w:val="24"/>
        </w:rPr>
        <w:t xml:space="preserve">social behaviour and affected communities to try to reach an agreed solution. </w:t>
      </w:r>
    </w:p>
    <w:p w:rsidR="00B51881" w:rsidRPr="00EF3A23" w:rsidRDefault="00B51881" w:rsidP="00B51881">
      <w:pPr>
        <w:spacing w:before="0" w:after="0"/>
        <w:rPr>
          <w:color w:val="002838"/>
          <w:sz w:val="24"/>
          <w:szCs w:val="24"/>
        </w:rPr>
      </w:pPr>
      <w:r w:rsidRPr="00EF3A23">
        <w:rPr>
          <w:color w:val="002838"/>
          <w:sz w:val="24"/>
          <w:szCs w:val="24"/>
        </w:rPr>
        <w:t xml:space="preserve"> </w:t>
      </w:r>
    </w:p>
    <w:p w:rsidR="00B51881" w:rsidRDefault="00B51881" w:rsidP="00B51881">
      <w:pPr>
        <w:numPr>
          <w:ilvl w:val="1"/>
          <w:numId w:val="2"/>
        </w:numPr>
        <w:spacing w:before="0" w:after="0"/>
        <w:rPr>
          <w:color w:val="002838"/>
          <w:sz w:val="24"/>
          <w:szCs w:val="24"/>
        </w:rPr>
      </w:pPr>
      <w:r w:rsidRPr="00EF3A23">
        <w:rPr>
          <w:color w:val="002838"/>
          <w:sz w:val="24"/>
          <w:szCs w:val="24"/>
        </w:rPr>
        <w:t xml:space="preserve">work in partnership with local authorities, the police and other agencies to contribute to </w:t>
      </w:r>
      <w:r>
        <w:rPr>
          <w:color w:val="002838"/>
          <w:sz w:val="24"/>
          <w:szCs w:val="24"/>
        </w:rPr>
        <w:t>anti</w:t>
      </w:r>
      <w:r w:rsidRPr="00EF3A23">
        <w:rPr>
          <w:color w:val="002838"/>
          <w:sz w:val="24"/>
          <w:szCs w:val="24"/>
        </w:rPr>
        <w:t>social behaviour strategy development etc. We will enter into local Service Level Agreements or information sharing protocols as appropriate.</w:t>
      </w:r>
    </w:p>
    <w:p w:rsidR="00B51881" w:rsidRPr="00EF3A23" w:rsidRDefault="00B51881" w:rsidP="00B51881">
      <w:pPr>
        <w:spacing w:before="0" w:after="0"/>
        <w:rPr>
          <w:color w:val="002838"/>
          <w:sz w:val="24"/>
          <w:szCs w:val="24"/>
        </w:rPr>
      </w:pPr>
    </w:p>
    <w:p w:rsidR="00B51881" w:rsidRPr="00EF3A23" w:rsidRDefault="00B51881" w:rsidP="00B51881">
      <w:pPr>
        <w:numPr>
          <w:ilvl w:val="1"/>
          <w:numId w:val="2"/>
        </w:numPr>
        <w:spacing w:before="0" w:after="0"/>
        <w:rPr>
          <w:strike/>
          <w:color w:val="002838"/>
          <w:sz w:val="24"/>
          <w:szCs w:val="24"/>
        </w:rPr>
      </w:pPr>
      <w:r w:rsidRPr="00EF3A23">
        <w:rPr>
          <w:color w:val="002838"/>
          <w:sz w:val="24"/>
          <w:szCs w:val="24"/>
        </w:rPr>
        <w:t xml:space="preserve">have a clear process for reporting and recording the progress of </w:t>
      </w:r>
      <w:r>
        <w:rPr>
          <w:color w:val="002838"/>
          <w:sz w:val="24"/>
          <w:szCs w:val="24"/>
        </w:rPr>
        <w:t>anti</w:t>
      </w:r>
      <w:r w:rsidRPr="00EF3A23">
        <w:rPr>
          <w:color w:val="002838"/>
          <w:sz w:val="24"/>
          <w:szCs w:val="24"/>
        </w:rPr>
        <w:t xml:space="preserve">social behaviour complaints. </w:t>
      </w:r>
    </w:p>
    <w:p w:rsidR="00B51881" w:rsidRPr="00EF3A23" w:rsidRDefault="00B51881" w:rsidP="00B51881">
      <w:pPr>
        <w:spacing w:before="0" w:after="0"/>
        <w:rPr>
          <w:strike/>
          <w:color w:val="002838"/>
          <w:sz w:val="24"/>
          <w:szCs w:val="24"/>
        </w:rPr>
      </w:pPr>
    </w:p>
    <w:p w:rsidR="00B51881" w:rsidRDefault="00B51881" w:rsidP="00B51881">
      <w:pPr>
        <w:numPr>
          <w:ilvl w:val="1"/>
          <w:numId w:val="2"/>
        </w:numPr>
        <w:spacing w:before="0" w:after="0"/>
        <w:rPr>
          <w:color w:val="002838"/>
          <w:sz w:val="24"/>
          <w:szCs w:val="24"/>
        </w:rPr>
      </w:pPr>
      <w:r w:rsidRPr="00EF3A23">
        <w:rPr>
          <w:color w:val="002838"/>
          <w:sz w:val="24"/>
          <w:szCs w:val="24"/>
        </w:rPr>
        <w:t xml:space="preserve">adhere to our agree procedures in relation to the management of </w:t>
      </w:r>
      <w:r>
        <w:rPr>
          <w:color w:val="002838"/>
          <w:sz w:val="24"/>
          <w:szCs w:val="24"/>
        </w:rPr>
        <w:t>anti</w:t>
      </w:r>
      <w:r w:rsidRPr="00EF3A23">
        <w:rPr>
          <w:color w:val="002838"/>
          <w:sz w:val="24"/>
          <w:szCs w:val="24"/>
        </w:rPr>
        <w:t>social behaviour.</w:t>
      </w:r>
    </w:p>
    <w:p w:rsidR="00B51881" w:rsidRPr="00EF3A23" w:rsidRDefault="00B51881" w:rsidP="00B51881">
      <w:pPr>
        <w:spacing w:before="0" w:after="0"/>
        <w:rPr>
          <w:color w:val="002838"/>
          <w:sz w:val="24"/>
          <w:szCs w:val="24"/>
        </w:rPr>
      </w:pPr>
    </w:p>
    <w:p w:rsidR="00B51881" w:rsidRPr="00EF3A23" w:rsidRDefault="00B51881" w:rsidP="00B51881">
      <w:pPr>
        <w:numPr>
          <w:ilvl w:val="1"/>
          <w:numId w:val="2"/>
        </w:numPr>
        <w:spacing w:before="0" w:after="0"/>
        <w:rPr>
          <w:color w:val="002838"/>
          <w:sz w:val="24"/>
          <w:szCs w:val="24"/>
        </w:rPr>
      </w:pPr>
      <w:r w:rsidRPr="00EF3A23">
        <w:rPr>
          <w:color w:val="002838"/>
          <w:sz w:val="24"/>
          <w:szCs w:val="24"/>
        </w:rPr>
        <w:t xml:space="preserve">investigate and respond to reports of </w:t>
      </w:r>
      <w:r>
        <w:rPr>
          <w:color w:val="002838"/>
          <w:sz w:val="24"/>
          <w:szCs w:val="24"/>
        </w:rPr>
        <w:t>anti</w:t>
      </w:r>
      <w:r w:rsidRPr="00EF3A23">
        <w:rPr>
          <w:color w:val="002838"/>
          <w:sz w:val="24"/>
          <w:szCs w:val="24"/>
        </w:rPr>
        <w:t>social behaviour within the timescales detailed above and keep the complainant informed and updated throughout the process.</w:t>
      </w:r>
    </w:p>
    <w:p w:rsidR="00B51881" w:rsidRPr="00EF3A23" w:rsidRDefault="00B51881" w:rsidP="00B51881">
      <w:pPr>
        <w:spacing w:before="0" w:after="0"/>
        <w:rPr>
          <w:color w:val="002838"/>
          <w:sz w:val="24"/>
        </w:rPr>
      </w:pPr>
    </w:p>
    <w:p w:rsidR="00B51881" w:rsidRPr="004A0C67" w:rsidRDefault="00B51881" w:rsidP="00B51881">
      <w:pPr>
        <w:spacing w:before="0" w:after="0"/>
        <w:ind w:left="720" w:hanging="720"/>
        <w:rPr>
          <w:b/>
          <w:color w:val="002838"/>
          <w:sz w:val="24"/>
        </w:rPr>
      </w:pPr>
      <w:r>
        <w:rPr>
          <w:b/>
          <w:color w:val="002838"/>
          <w:sz w:val="24"/>
        </w:rPr>
        <w:t>6.</w:t>
      </w:r>
      <w:r>
        <w:rPr>
          <w:b/>
          <w:color w:val="002838"/>
          <w:sz w:val="24"/>
        </w:rPr>
        <w:tab/>
        <w:t>Information</w:t>
      </w:r>
    </w:p>
    <w:p w:rsidR="00B51881" w:rsidRPr="004A0C67" w:rsidRDefault="00B51881" w:rsidP="00B51881">
      <w:pPr>
        <w:spacing w:before="0" w:after="0"/>
        <w:rPr>
          <w:color w:val="002838"/>
          <w:sz w:val="24"/>
        </w:rPr>
      </w:pPr>
    </w:p>
    <w:p w:rsidR="00B51881" w:rsidRPr="004A0C67" w:rsidRDefault="00B51881" w:rsidP="00B51881">
      <w:pPr>
        <w:spacing w:before="0" w:after="0"/>
        <w:ind w:left="720" w:hanging="720"/>
        <w:rPr>
          <w:color w:val="002838"/>
          <w:sz w:val="24"/>
        </w:rPr>
      </w:pPr>
      <w:r>
        <w:rPr>
          <w:color w:val="002838"/>
          <w:sz w:val="24"/>
        </w:rPr>
        <w:t>6</w:t>
      </w:r>
      <w:r w:rsidRPr="004A0C67">
        <w:rPr>
          <w:color w:val="002838"/>
          <w:sz w:val="24"/>
        </w:rPr>
        <w:t>.1</w:t>
      </w:r>
      <w:r w:rsidRPr="004A0C67">
        <w:rPr>
          <w:color w:val="002838"/>
          <w:sz w:val="24"/>
        </w:rPr>
        <w:tab/>
        <w:t>We will provide information and training to our staff, to better equip them to recognise antisocial behaviour, prevent it from arising or escalating, and respond to it appropriately when it occurs.</w:t>
      </w:r>
    </w:p>
    <w:p w:rsidR="00B51881" w:rsidRPr="004A0C67" w:rsidRDefault="00B51881" w:rsidP="00B51881">
      <w:pPr>
        <w:spacing w:before="0" w:after="0"/>
        <w:rPr>
          <w:color w:val="002838"/>
          <w:sz w:val="24"/>
        </w:rPr>
      </w:pPr>
    </w:p>
    <w:p w:rsidR="00B51881" w:rsidRPr="004A0C67" w:rsidRDefault="00B51881" w:rsidP="00B51881">
      <w:pPr>
        <w:spacing w:before="0" w:after="0"/>
        <w:ind w:left="720" w:hanging="720"/>
        <w:rPr>
          <w:color w:val="002838"/>
          <w:sz w:val="24"/>
        </w:rPr>
      </w:pPr>
      <w:r>
        <w:rPr>
          <w:color w:val="002838"/>
          <w:sz w:val="24"/>
        </w:rPr>
        <w:t>6</w:t>
      </w:r>
      <w:r w:rsidRPr="004A0C67">
        <w:rPr>
          <w:color w:val="002838"/>
          <w:sz w:val="24"/>
        </w:rPr>
        <w:t>.2</w:t>
      </w:r>
      <w:r w:rsidRPr="004A0C67">
        <w:rPr>
          <w:color w:val="002838"/>
          <w:sz w:val="24"/>
        </w:rPr>
        <w:tab/>
        <w:t>We will help tenants and communities find solutions to problems of nuisance neighbours and provide advice and details on ways to address neighbour problems.</w:t>
      </w:r>
    </w:p>
    <w:p w:rsidR="00B51881" w:rsidRPr="004A0C67" w:rsidRDefault="00B51881" w:rsidP="00B51881">
      <w:pPr>
        <w:spacing w:before="0" w:after="0"/>
        <w:rPr>
          <w:color w:val="002838"/>
          <w:sz w:val="24"/>
        </w:rPr>
      </w:pPr>
    </w:p>
    <w:p w:rsidR="00B51881" w:rsidRPr="004A0C67" w:rsidRDefault="00B51881" w:rsidP="00B51881">
      <w:pPr>
        <w:spacing w:before="0" w:after="0"/>
        <w:ind w:left="720" w:hanging="720"/>
        <w:rPr>
          <w:color w:val="002838"/>
          <w:sz w:val="24"/>
        </w:rPr>
      </w:pPr>
      <w:r>
        <w:rPr>
          <w:color w:val="002838"/>
          <w:sz w:val="24"/>
        </w:rPr>
        <w:t>6</w:t>
      </w:r>
      <w:r w:rsidRPr="004A0C67">
        <w:rPr>
          <w:color w:val="002838"/>
          <w:sz w:val="24"/>
        </w:rPr>
        <w:t>.3</w:t>
      </w:r>
      <w:r w:rsidRPr="004A0C67">
        <w:rPr>
          <w:color w:val="002838"/>
          <w:sz w:val="24"/>
        </w:rPr>
        <w:tab/>
        <w:t>We will promote the guidance</w:t>
      </w:r>
      <w:r>
        <w:rPr>
          <w:color w:val="002838"/>
          <w:sz w:val="24"/>
        </w:rPr>
        <w:t>, good practice</w:t>
      </w:r>
      <w:r w:rsidRPr="004A0C67">
        <w:rPr>
          <w:color w:val="002838"/>
          <w:sz w:val="24"/>
        </w:rPr>
        <w:t xml:space="preserve"> and services available from the Scottish Government, and </w:t>
      </w:r>
      <w:r>
        <w:rPr>
          <w:color w:val="002838"/>
          <w:sz w:val="24"/>
        </w:rPr>
        <w:t>work within</w:t>
      </w:r>
      <w:r w:rsidRPr="004A0C67">
        <w:rPr>
          <w:color w:val="002838"/>
          <w:sz w:val="24"/>
        </w:rPr>
        <w:t xml:space="preserve"> local authority antisocial behaviour strategies.</w:t>
      </w:r>
    </w:p>
    <w:p w:rsidR="00B51881" w:rsidRPr="004A0C67" w:rsidRDefault="00B51881" w:rsidP="00B51881">
      <w:pPr>
        <w:spacing w:before="0" w:after="0"/>
        <w:rPr>
          <w:color w:val="002838"/>
          <w:sz w:val="24"/>
        </w:rPr>
      </w:pPr>
    </w:p>
    <w:p w:rsidR="00B51881" w:rsidRPr="004A0C67" w:rsidRDefault="00B51881" w:rsidP="00B51881">
      <w:pPr>
        <w:spacing w:before="0" w:after="0"/>
        <w:ind w:left="720" w:hanging="720"/>
        <w:rPr>
          <w:color w:val="002838"/>
          <w:sz w:val="24"/>
        </w:rPr>
      </w:pPr>
      <w:r>
        <w:rPr>
          <w:color w:val="002838"/>
          <w:sz w:val="24"/>
        </w:rPr>
        <w:t>6</w:t>
      </w:r>
      <w:r w:rsidRPr="004A0C67">
        <w:rPr>
          <w:color w:val="002838"/>
          <w:sz w:val="24"/>
        </w:rPr>
        <w:t>.4</w:t>
      </w:r>
      <w:r w:rsidRPr="004A0C67">
        <w:rPr>
          <w:color w:val="002838"/>
          <w:sz w:val="24"/>
        </w:rPr>
        <w:tab/>
        <w:t>We will establish</w:t>
      </w:r>
      <w:r>
        <w:rPr>
          <w:color w:val="002838"/>
          <w:sz w:val="24"/>
        </w:rPr>
        <w:t xml:space="preserve"> and maintain systems</w:t>
      </w:r>
      <w:r w:rsidRPr="004A0C67">
        <w:rPr>
          <w:color w:val="002838"/>
          <w:sz w:val="24"/>
        </w:rPr>
        <w:t xml:space="preserve"> for consistent collection of information on reports of </w:t>
      </w:r>
      <w:r>
        <w:rPr>
          <w:color w:val="002838"/>
          <w:sz w:val="24"/>
        </w:rPr>
        <w:t xml:space="preserve">antisocial behaviour so that we can report to the Scottish Housing Regulator to meet agreed Key Performance Indicators. </w:t>
      </w:r>
    </w:p>
    <w:p w:rsidR="00B51881" w:rsidRPr="004A0C67" w:rsidRDefault="00B51881" w:rsidP="00B51881">
      <w:pPr>
        <w:spacing w:before="0" w:after="0"/>
        <w:rPr>
          <w:color w:val="002838"/>
          <w:sz w:val="24"/>
        </w:rPr>
      </w:pPr>
    </w:p>
    <w:p w:rsidR="00B51881" w:rsidRPr="004A0C67" w:rsidRDefault="00B51881" w:rsidP="00B51881">
      <w:pPr>
        <w:spacing w:before="0" w:after="0"/>
        <w:rPr>
          <w:b/>
          <w:color w:val="002838"/>
          <w:sz w:val="24"/>
        </w:rPr>
      </w:pPr>
      <w:r>
        <w:rPr>
          <w:b/>
          <w:color w:val="002838"/>
          <w:sz w:val="24"/>
        </w:rPr>
        <w:t>7</w:t>
      </w:r>
      <w:r w:rsidRPr="004A0C67">
        <w:rPr>
          <w:b/>
          <w:color w:val="002838"/>
          <w:sz w:val="24"/>
        </w:rPr>
        <w:t>.</w:t>
      </w:r>
      <w:r w:rsidRPr="004A0C67">
        <w:rPr>
          <w:b/>
          <w:color w:val="002838"/>
          <w:sz w:val="24"/>
        </w:rPr>
        <w:tab/>
        <w:t>Review</w:t>
      </w:r>
    </w:p>
    <w:p w:rsidR="00B51881" w:rsidRPr="004A0C67" w:rsidRDefault="00B51881" w:rsidP="00B51881">
      <w:pPr>
        <w:spacing w:before="0" w:after="0"/>
        <w:rPr>
          <w:color w:val="002838"/>
          <w:sz w:val="24"/>
        </w:rPr>
      </w:pPr>
      <w:r w:rsidRPr="004A0C67">
        <w:rPr>
          <w:color w:val="002838"/>
          <w:sz w:val="24"/>
        </w:rPr>
        <w:tab/>
      </w:r>
    </w:p>
    <w:p w:rsidR="00B51881" w:rsidRPr="004A0C67" w:rsidRDefault="00B51881" w:rsidP="00B51881">
      <w:pPr>
        <w:spacing w:before="0" w:after="0"/>
        <w:rPr>
          <w:color w:val="002838"/>
          <w:sz w:val="24"/>
        </w:rPr>
      </w:pPr>
      <w:r w:rsidRPr="004A0C67">
        <w:rPr>
          <w:color w:val="002838"/>
          <w:sz w:val="24"/>
        </w:rPr>
        <w:t xml:space="preserve">This policy will be reviewed </w:t>
      </w:r>
      <w:r>
        <w:rPr>
          <w:color w:val="002838"/>
          <w:sz w:val="24"/>
        </w:rPr>
        <w:t>every three years or sooner to</w:t>
      </w:r>
      <w:r w:rsidRPr="004A0C67">
        <w:rPr>
          <w:color w:val="002838"/>
          <w:sz w:val="24"/>
        </w:rPr>
        <w:t>:</w:t>
      </w:r>
    </w:p>
    <w:p w:rsidR="00B51881" w:rsidRDefault="00B51881" w:rsidP="00B51881">
      <w:pPr>
        <w:pStyle w:val="ListParagraph"/>
        <w:numPr>
          <w:ilvl w:val="0"/>
          <w:numId w:val="3"/>
        </w:numPr>
        <w:spacing w:before="0" w:after="0"/>
        <w:rPr>
          <w:color w:val="002838"/>
          <w:sz w:val="24"/>
        </w:rPr>
      </w:pPr>
      <w:r>
        <w:rPr>
          <w:color w:val="002838"/>
          <w:sz w:val="24"/>
        </w:rPr>
        <w:t>Comply with changes in legislation, rules, regulations and guidance</w:t>
      </w:r>
    </w:p>
    <w:p w:rsidR="00B51881" w:rsidRDefault="00B51881" w:rsidP="00B51881">
      <w:pPr>
        <w:pStyle w:val="ListParagraph"/>
        <w:numPr>
          <w:ilvl w:val="0"/>
          <w:numId w:val="3"/>
        </w:numPr>
        <w:spacing w:before="0" w:after="0"/>
        <w:rPr>
          <w:color w:val="002838"/>
          <w:sz w:val="24"/>
        </w:rPr>
      </w:pPr>
      <w:r>
        <w:rPr>
          <w:color w:val="002838"/>
          <w:sz w:val="24"/>
        </w:rPr>
        <w:t>Comply with changes within Cairn</w:t>
      </w:r>
    </w:p>
    <w:p w:rsidR="00B51881" w:rsidRDefault="00B51881" w:rsidP="00B51881">
      <w:pPr>
        <w:pStyle w:val="ListParagraph"/>
        <w:numPr>
          <w:ilvl w:val="0"/>
          <w:numId w:val="3"/>
        </w:numPr>
        <w:spacing w:before="0" w:after="0"/>
        <w:rPr>
          <w:color w:val="002838"/>
          <w:sz w:val="24"/>
        </w:rPr>
      </w:pPr>
      <w:r>
        <w:rPr>
          <w:color w:val="002838"/>
          <w:sz w:val="24"/>
        </w:rPr>
        <w:t>Comply with changes in best practice</w:t>
      </w:r>
    </w:p>
    <w:p w:rsidR="00B51881" w:rsidRPr="00B51881" w:rsidRDefault="00B51881" w:rsidP="00B51881">
      <w:pPr>
        <w:spacing w:after="0"/>
        <w:rPr>
          <w:sz w:val="24"/>
        </w:rPr>
      </w:pPr>
    </w:p>
    <w:sectPr w:rsidR="00B51881" w:rsidRPr="00B518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881" w:rsidRDefault="00B51881" w:rsidP="00B51881">
      <w:pPr>
        <w:spacing w:before="0" w:after="0"/>
      </w:pPr>
      <w:r>
        <w:separator/>
      </w:r>
    </w:p>
  </w:endnote>
  <w:endnote w:type="continuationSeparator" w:id="0">
    <w:p w:rsidR="00B51881" w:rsidRDefault="00B51881" w:rsidP="00B518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881" w:rsidRDefault="00B51881" w:rsidP="00B51881">
      <w:pPr>
        <w:spacing w:before="0" w:after="0"/>
      </w:pPr>
      <w:r>
        <w:separator/>
      </w:r>
    </w:p>
  </w:footnote>
  <w:footnote w:type="continuationSeparator" w:id="0">
    <w:p w:rsidR="00B51881" w:rsidRDefault="00B51881" w:rsidP="00B5188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881" w:rsidRDefault="00B51881">
    <w:pPr>
      <w:pStyle w:val="Header"/>
    </w:pPr>
    <w:r w:rsidRPr="00DB00EB">
      <w:rPr>
        <w:noProof/>
        <w:lang w:eastAsia="en-GB"/>
      </w:rPr>
      <w:drawing>
        <wp:anchor distT="0" distB="0" distL="114300" distR="114300" simplePos="0" relativeHeight="251659264" behindDoc="0" locked="0" layoutInCell="1" allowOverlap="1" wp14:anchorId="68B9D712" wp14:editId="3C7CB923">
          <wp:simplePos x="0" y="0"/>
          <wp:positionH relativeFrom="column">
            <wp:posOffset>4819650</wp:posOffset>
          </wp:positionH>
          <wp:positionV relativeFrom="paragraph">
            <wp:posOffset>-249555</wp:posOffset>
          </wp:positionV>
          <wp:extent cx="1485900" cy="526415"/>
          <wp:effectExtent l="0" t="0" r="0" b="6985"/>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17D90"/>
    <w:multiLevelType w:val="hybridMultilevel"/>
    <w:tmpl w:val="02FA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5082E"/>
    <w:multiLevelType w:val="hybridMultilevel"/>
    <w:tmpl w:val="93D855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601F43"/>
    <w:multiLevelType w:val="hybridMultilevel"/>
    <w:tmpl w:val="E6C001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E4313"/>
    <w:multiLevelType w:val="hybridMultilevel"/>
    <w:tmpl w:val="4D88B2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34A2D"/>
    <w:multiLevelType w:val="hybridMultilevel"/>
    <w:tmpl w:val="C714D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A401E44"/>
    <w:multiLevelType w:val="hybridMultilevel"/>
    <w:tmpl w:val="7864F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81"/>
    <w:rsid w:val="00B51881"/>
    <w:rsid w:val="00DA3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6AB5C-6F00-42C6-9AD0-6D8937C9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881"/>
    <w:pPr>
      <w:spacing w:before="120" w:after="12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881"/>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881"/>
    <w:pPr>
      <w:ind w:left="720"/>
      <w:contextualSpacing/>
    </w:pPr>
  </w:style>
  <w:style w:type="paragraph" w:styleId="Header">
    <w:name w:val="header"/>
    <w:basedOn w:val="Normal"/>
    <w:link w:val="HeaderChar"/>
    <w:uiPriority w:val="99"/>
    <w:unhideWhenUsed/>
    <w:rsid w:val="00B51881"/>
    <w:pPr>
      <w:tabs>
        <w:tab w:val="center" w:pos="4513"/>
        <w:tab w:val="right" w:pos="9026"/>
      </w:tabs>
      <w:spacing w:before="0" w:after="0"/>
    </w:pPr>
  </w:style>
  <w:style w:type="character" w:customStyle="1" w:styleId="HeaderChar">
    <w:name w:val="Header Char"/>
    <w:basedOn w:val="DefaultParagraphFont"/>
    <w:link w:val="Header"/>
    <w:uiPriority w:val="99"/>
    <w:rsid w:val="00B51881"/>
    <w:rPr>
      <w:rFonts w:ascii="Arial" w:hAnsi="Arial" w:cs="Arial"/>
      <w:sz w:val="20"/>
      <w:szCs w:val="20"/>
    </w:rPr>
  </w:style>
  <w:style w:type="paragraph" w:styleId="Footer">
    <w:name w:val="footer"/>
    <w:basedOn w:val="Normal"/>
    <w:link w:val="FooterChar"/>
    <w:uiPriority w:val="99"/>
    <w:unhideWhenUsed/>
    <w:rsid w:val="00B51881"/>
    <w:pPr>
      <w:tabs>
        <w:tab w:val="center" w:pos="4513"/>
        <w:tab w:val="right" w:pos="9026"/>
      </w:tabs>
      <w:spacing w:before="0" w:after="0"/>
    </w:pPr>
  </w:style>
  <w:style w:type="character" w:customStyle="1" w:styleId="FooterChar">
    <w:name w:val="Footer Char"/>
    <w:basedOn w:val="DefaultParagraphFont"/>
    <w:link w:val="Footer"/>
    <w:uiPriority w:val="99"/>
    <w:rsid w:val="00B5188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FH</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Sutherland</dc:creator>
  <cp:keywords/>
  <dc:description/>
  <cp:lastModifiedBy>Amy Sutherland</cp:lastModifiedBy>
  <cp:revision>1</cp:revision>
  <dcterms:created xsi:type="dcterms:W3CDTF">2017-08-31T14:08:00Z</dcterms:created>
  <dcterms:modified xsi:type="dcterms:W3CDTF">2017-08-31T14:11:00Z</dcterms:modified>
</cp:coreProperties>
</file>